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072329" w:rsidRPr="00072329" w14:paraId="6C594DF8" w14:textId="77777777" w:rsidTr="00072329">
        <w:tc>
          <w:tcPr>
            <w:tcW w:w="0" w:type="auto"/>
            <w:tcMar>
              <w:top w:w="135" w:type="dxa"/>
              <w:left w:w="270" w:type="dxa"/>
              <w:bottom w:w="135" w:type="dxa"/>
              <w:right w:w="270" w:type="dxa"/>
            </w:tcMar>
            <w:hideMark/>
          </w:tcPr>
          <w:tbl>
            <w:tblPr>
              <w:tblpPr w:vertAnchor="text"/>
              <w:tblW w:w="5000" w:type="pct"/>
              <w:shd w:val="clear" w:color="auto" w:fill="F5EFEF"/>
              <w:tblCellMar>
                <w:left w:w="0" w:type="dxa"/>
                <w:right w:w="0" w:type="dxa"/>
              </w:tblCellMar>
              <w:tblLook w:val="04A0" w:firstRow="1" w:lastRow="0" w:firstColumn="1" w:lastColumn="0" w:noHBand="0" w:noVBand="1"/>
            </w:tblPr>
            <w:tblGrid>
              <w:gridCol w:w="8820"/>
            </w:tblGrid>
            <w:tr w:rsidR="00072329" w:rsidRPr="00072329" w14:paraId="1EC0789B" w14:textId="77777777">
              <w:tc>
                <w:tcPr>
                  <w:tcW w:w="0" w:type="auto"/>
                  <w:shd w:val="clear" w:color="auto" w:fill="F5EFEF"/>
                  <w:hideMark/>
                </w:tcPr>
                <w:p w14:paraId="5B7125B5" w14:textId="395F79DA" w:rsidR="00072329" w:rsidRPr="00072329" w:rsidRDefault="00072329" w:rsidP="00072329">
                  <w:r w:rsidRPr="00072329">
                    <w:drawing>
                      <wp:inline distT="0" distB="0" distL="0" distR="0" wp14:anchorId="0617D5C9" wp14:editId="3B3A23E7">
                        <wp:extent cx="2933700" cy="1114425"/>
                        <wp:effectExtent l="0" t="0" r="0" b="9525"/>
                        <wp:docPr id="2038687896"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87896" name="Picture 2" descr="A red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114425"/>
                                </a:xfrm>
                                <a:prstGeom prst="rect">
                                  <a:avLst/>
                                </a:prstGeom>
                                <a:noFill/>
                                <a:ln>
                                  <a:noFill/>
                                </a:ln>
                              </pic:spPr>
                            </pic:pic>
                          </a:graphicData>
                        </a:graphic>
                      </wp:inline>
                    </w:drawing>
                  </w:r>
                </w:p>
              </w:tc>
            </w:tr>
            <w:tr w:rsidR="00072329" w:rsidRPr="00072329" w14:paraId="5CCBCECB" w14:textId="77777777">
              <w:tc>
                <w:tcPr>
                  <w:tcW w:w="8190" w:type="dxa"/>
                  <w:shd w:val="clear" w:color="auto" w:fill="F5EFEF"/>
                  <w:tcMar>
                    <w:top w:w="135" w:type="dxa"/>
                    <w:left w:w="270" w:type="dxa"/>
                    <w:bottom w:w="135" w:type="dxa"/>
                    <w:right w:w="270" w:type="dxa"/>
                  </w:tcMar>
                  <w:hideMark/>
                </w:tcPr>
                <w:p w14:paraId="58DFA2B5" w14:textId="77777777" w:rsidR="00072329" w:rsidRPr="00072329" w:rsidRDefault="00072329" w:rsidP="00072329">
                  <w:r w:rsidRPr="00072329">
                    <w:rPr>
                      <w:b/>
                      <w:bCs/>
                    </w:rPr>
                    <w:t>RFP 3153</w:t>
                  </w:r>
                  <w:r w:rsidRPr="00072329">
                    <w:rPr>
                      <w:b/>
                      <w:bCs/>
                    </w:rPr>
                    <w:br/>
                    <w:t>MANAGING AND MONETIZING PENNSYLVANIA</w:t>
                  </w:r>
                  <w:r w:rsidRPr="00072329">
                    <w:rPr>
                      <w:b/>
                      <w:bCs/>
                    </w:rPr>
                    <w:br/>
                    <w:t>TIER II ALTERNATIVE ENERGY CREDITS (AECS)</w:t>
                  </w:r>
                  <w:r w:rsidRPr="00072329">
                    <w:rPr>
                      <w:b/>
                      <w:bCs/>
                    </w:rPr>
                    <w:br/>
                    <w:t>FOR CCAC</w:t>
                  </w:r>
                  <w:r w:rsidRPr="00072329">
                    <w:br/>
                  </w:r>
                  <w:r w:rsidRPr="00072329">
                    <w:br/>
                    <w:t xml:space="preserve">Overview </w:t>
                  </w:r>
                </w:p>
                <w:p w14:paraId="1671CFC6" w14:textId="77777777" w:rsidR="00072329" w:rsidRPr="00072329" w:rsidRDefault="00072329" w:rsidP="00072329">
                  <w:r w:rsidRPr="00072329">
                    <w:t>The Community College of Allegheny County (CCAC) desires to monetize the associated Tier II Alternative Energy Credits1 (AECs) from a recent retrofit of approximately 17,000 light fixtures located on multiple campuses. In accordance with Pennsylvania Act 213, CCAC is seeking assistance from and partnership with a firm that possesses the necessary engineering, regulatory, legal, administrative, and market expertise to manage and monetize the Tier II Alternative Energy Credits (AECs) generated by project(s) owned or implemented by CCAC. CCAC also anticipates the execution of additional energy-saving projects in the future and desires to maintain the relationship with the firm chosen as a result of this RFP. The successful proposer will be compensated by taking a percentage of the AECs’ monetized value. The selected responder shall demonstrate their ability to perform the following functions:</w:t>
                  </w:r>
                  <w:r w:rsidRPr="00072329">
                    <w:br/>
                  </w:r>
                  <w:r w:rsidRPr="00072329">
                    <w:br/>
                    <w:t>1) Project Assessment &amp; Registration – Perform due diligence on the project(s), then prepare and submit all materials necessary to seek approval from the Pennsylvania Public Utility Commission (PUC) to qualify the project(s) as an Alternative Energy Resource eligible to generate Tier II AECs.</w:t>
                  </w:r>
                  <w:r w:rsidRPr="00072329">
                    <w:br/>
                    <w:t>2) AEC Creation, Operations &amp; Regulatory Compliance—Manage all regulatory requirements and PJM-GATS registry processes for creating and transferring AECs generated from the selected CCAC project(s).</w:t>
                  </w:r>
                  <w:r w:rsidRPr="00072329">
                    <w:br/>
                    <w:t>3) AEC Monetization – Comprehensive participation in the various “pathways to market” to maximize AEC revenue from the selected project(s), along with the execution of all contracts, delivery of credits, and collection and distribution of proceeds.</w:t>
                  </w:r>
                  <w:r w:rsidRPr="00072329">
                    <w:br/>
                    <w:t>4) Regulatory &amp; Policy Support—Monitor regulatory and legislative developments in Pennsylvania that could impact (positively or negatively) the value of CCAC’s AEC revenue.</w:t>
                  </w:r>
                </w:p>
                <w:p w14:paraId="273CA67D" w14:textId="77777777" w:rsidR="00072329" w:rsidRPr="00072329" w:rsidRDefault="00072329" w:rsidP="00072329">
                  <w:r w:rsidRPr="00072329">
                    <w:br/>
                    <w:t xml:space="preserve">1 Defined as 1000 kWh or 1 megawatt-hour. </w:t>
                  </w:r>
                </w:p>
              </w:tc>
            </w:tr>
          </w:tbl>
          <w:p w14:paraId="11C9233B" w14:textId="77777777" w:rsidR="00072329" w:rsidRPr="00072329" w:rsidRDefault="00072329" w:rsidP="00072329"/>
        </w:tc>
      </w:tr>
    </w:tbl>
    <w:p w14:paraId="3E73B662"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29"/>
    <w:rsid w:val="00000AFE"/>
    <w:rsid w:val="00072329"/>
    <w:rsid w:val="0066452E"/>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D5A2"/>
  <w15:chartTrackingRefBased/>
  <w15:docId w15:val="{F93C746E-3CEC-4D2F-8C7B-FE471F58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3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3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3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3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3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3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3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3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3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3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3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3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3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3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3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329"/>
    <w:rPr>
      <w:rFonts w:eastAsiaTheme="majorEastAsia" w:cstheme="majorBidi"/>
      <w:color w:val="272727" w:themeColor="text1" w:themeTint="D8"/>
    </w:rPr>
  </w:style>
  <w:style w:type="paragraph" w:styleId="Title">
    <w:name w:val="Title"/>
    <w:basedOn w:val="Normal"/>
    <w:next w:val="Normal"/>
    <w:link w:val="TitleChar"/>
    <w:uiPriority w:val="10"/>
    <w:qFormat/>
    <w:rsid w:val="0007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3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329"/>
    <w:pPr>
      <w:spacing w:before="160"/>
      <w:jc w:val="center"/>
    </w:pPr>
    <w:rPr>
      <w:i/>
      <w:iCs/>
      <w:color w:val="404040" w:themeColor="text1" w:themeTint="BF"/>
    </w:rPr>
  </w:style>
  <w:style w:type="character" w:customStyle="1" w:styleId="QuoteChar">
    <w:name w:val="Quote Char"/>
    <w:basedOn w:val="DefaultParagraphFont"/>
    <w:link w:val="Quote"/>
    <w:uiPriority w:val="29"/>
    <w:rsid w:val="00072329"/>
    <w:rPr>
      <w:i/>
      <w:iCs/>
      <w:color w:val="404040" w:themeColor="text1" w:themeTint="BF"/>
    </w:rPr>
  </w:style>
  <w:style w:type="paragraph" w:styleId="ListParagraph">
    <w:name w:val="List Paragraph"/>
    <w:basedOn w:val="Normal"/>
    <w:uiPriority w:val="34"/>
    <w:qFormat/>
    <w:rsid w:val="00072329"/>
    <w:pPr>
      <w:ind w:left="720"/>
      <w:contextualSpacing/>
    </w:pPr>
  </w:style>
  <w:style w:type="character" w:styleId="IntenseEmphasis">
    <w:name w:val="Intense Emphasis"/>
    <w:basedOn w:val="DefaultParagraphFont"/>
    <w:uiPriority w:val="21"/>
    <w:qFormat/>
    <w:rsid w:val="00072329"/>
    <w:rPr>
      <w:i/>
      <w:iCs/>
      <w:color w:val="0F4761" w:themeColor="accent1" w:themeShade="BF"/>
    </w:rPr>
  </w:style>
  <w:style w:type="paragraph" w:styleId="IntenseQuote">
    <w:name w:val="Intense Quote"/>
    <w:basedOn w:val="Normal"/>
    <w:next w:val="Normal"/>
    <w:link w:val="IntenseQuoteChar"/>
    <w:uiPriority w:val="30"/>
    <w:qFormat/>
    <w:rsid w:val="00072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329"/>
    <w:rPr>
      <w:i/>
      <w:iCs/>
      <w:color w:val="0F4761" w:themeColor="accent1" w:themeShade="BF"/>
    </w:rPr>
  </w:style>
  <w:style w:type="character" w:styleId="IntenseReference">
    <w:name w:val="Intense Reference"/>
    <w:basedOn w:val="DefaultParagraphFont"/>
    <w:uiPriority w:val="32"/>
    <w:qFormat/>
    <w:rsid w:val="000723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238976">
      <w:bodyDiv w:val="1"/>
      <w:marLeft w:val="0"/>
      <w:marRight w:val="0"/>
      <w:marTop w:val="0"/>
      <w:marBottom w:val="0"/>
      <w:divBdr>
        <w:top w:val="none" w:sz="0" w:space="0" w:color="auto"/>
        <w:left w:val="none" w:sz="0" w:space="0" w:color="auto"/>
        <w:bottom w:val="none" w:sz="0" w:space="0" w:color="auto"/>
        <w:right w:val="none" w:sz="0" w:space="0" w:color="auto"/>
      </w:divBdr>
    </w:div>
    <w:div w:id="13903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Company>California University of Pennsylvania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2024-12-19T16:27:00Z</dcterms:created>
  <dcterms:modified xsi:type="dcterms:W3CDTF">2024-12-19T16:27:00Z</dcterms:modified>
</cp:coreProperties>
</file>