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602C4C" w:rsidRPr="00602C4C" w14:paraId="1E071566" w14:textId="77777777" w:rsidTr="00602C4C">
        <w:tc>
          <w:tcPr>
            <w:tcW w:w="0" w:type="auto"/>
            <w:tcMar>
              <w:top w:w="135" w:type="dxa"/>
              <w:left w:w="270" w:type="dxa"/>
              <w:bottom w:w="135" w:type="dxa"/>
              <w:right w:w="270" w:type="dxa"/>
            </w:tcMar>
            <w:hideMark/>
          </w:tcPr>
          <w:tbl>
            <w:tblPr>
              <w:tblpPr w:vertAnchor="text"/>
              <w:tblW w:w="5000" w:type="pct"/>
              <w:shd w:val="clear" w:color="auto" w:fill="E5EBFA"/>
              <w:tblCellMar>
                <w:left w:w="0" w:type="dxa"/>
                <w:right w:w="0" w:type="dxa"/>
              </w:tblCellMar>
              <w:tblLook w:val="04A0" w:firstRow="1" w:lastRow="0" w:firstColumn="1" w:lastColumn="0" w:noHBand="0" w:noVBand="1"/>
            </w:tblPr>
            <w:tblGrid>
              <w:gridCol w:w="8820"/>
            </w:tblGrid>
            <w:tr w:rsidR="00602C4C" w:rsidRPr="00602C4C" w14:paraId="2139CC6F" w14:textId="77777777">
              <w:tc>
                <w:tcPr>
                  <w:tcW w:w="0" w:type="auto"/>
                  <w:shd w:val="clear" w:color="auto" w:fill="E5EBFA"/>
                  <w:hideMark/>
                </w:tcPr>
                <w:p w14:paraId="2AD3FA65" w14:textId="5BC68FC5" w:rsidR="00602C4C" w:rsidRPr="00602C4C" w:rsidRDefault="00602C4C" w:rsidP="00602C4C">
                  <w:r w:rsidRPr="00602C4C">
                    <w:drawing>
                      <wp:inline distT="0" distB="0" distL="0" distR="0" wp14:anchorId="47BFF983" wp14:editId="4E6A1E96">
                        <wp:extent cx="2924175" cy="628650"/>
                        <wp:effectExtent l="0" t="0" r="9525" b="0"/>
                        <wp:docPr id="1393620250"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20250" name="Picture 2" descr="A blue text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628650"/>
                                </a:xfrm>
                                <a:prstGeom prst="rect">
                                  <a:avLst/>
                                </a:prstGeom>
                                <a:noFill/>
                                <a:ln>
                                  <a:noFill/>
                                </a:ln>
                              </pic:spPr>
                            </pic:pic>
                          </a:graphicData>
                        </a:graphic>
                      </wp:inline>
                    </w:drawing>
                  </w:r>
                </w:p>
              </w:tc>
            </w:tr>
            <w:tr w:rsidR="00602C4C" w:rsidRPr="00602C4C" w14:paraId="497688B7" w14:textId="77777777">
              <w:tc>
                <w:tcPr>
                  <w:tcW w:w="8190" w:type="dxa"/>
                  <w:shd w:val="clear" w:color="auto" w:fill="E5EBFA"/>
                  <w:tcMar>
                    <w:top w:w="135" w:type="dxa"/>
                    <w:left w:w="270" w:type="dxa"/>
                    <w:bottom w:w="135" w:type="dxa"/>
                    <w:right w:w="270" w:type="dxa"/>
                  </w:tcMar>
                  <w:hideMark/>
                </w:tcPr>
                <w:p w14:paraId="41648CB3" w14:textId="77777777" w:rsidR="00602C4C" w:rsidRPr="00602C4C" w:rsidRDefault="00602C4C" w:rsidP="00602C4C">
                  <w:r w:rsidRPr="00602C4C">
                    <w:br/>
                  </w:r>
                  <w:r w:rsidRPr="00602C4C">
                    <w:rPr>
                      <w:b/>
                      <w:bCs/>
                    </w:rPr>
                    <w:t>NOTICE TO CONTRACTORS – STEEL RIVERS COUNCIL OF GOVERNMENTS REQUEST FOR PROPOSALS</w:t>
                  </w:r>
                  <w:r w:rsidRPr="00602C4C">
                    <w:br/>
                  </w:r>
                  <w:r w:rsidRPr="00602C4C">
                    <w:br/>
                    <w:t>Notice is hereby given that sealed proposals will be received by the Steel Rivers COG office at 1705 Maple Street, Room 100, Homestead PA 15120. Bid Proposals will be received until 10:00 am prevailing time on Tuesday, January 16, 2025, whereupon bids will be publicly opened and read immediately thereafter for the following projects:</w:t>
                  </w:r>
                  <w:r w:rsidRPr="00602C4C">
                    <w:br/>
                  </w:r>
                  <w:r w:rsidRPr="00602C4C">
                    <w:br/>
                  </w:r>
                  <w:r w:rsidRPr="00602C4C">
                    <w:rPr>
                      <w:b/>
                      <w:bCs/>
                    </w:rPr>
                    <w:t>CD 49-3.10.1 Glenn Avenue Embankment, Liberty Borough</w:t>
                  </w:r>
                  <w:r w:rsidRPr="00602C4C">
                    <w:t>. Restoration of embankment along road- installation of slurry mix concrete 9.6 CY, 223 T of R-8 rip-rap, remove guiderail 165 LF, saw cut 165 LF, mill street 200 SY, 1 1/2" 9.5mm wearing 220 SY, wedge curb 165 LF, and other appurtenances as required by Borough and engineer.</w:t>
                  </w:r>
                  <w:r w:rsidRPr="00602C4C">
                    <w:br/>
                  </w:r>
                  <w:r w:rsidRPr="00602C4C">
                    <w:br/>
                  </w:r>
                  <w:r w:rsidRPr="00602C4C">
                    <w:rPr>
                      <w:b/>
                      <w:bCs/>
                    </w:rPr>
                    <w:t>CD 48-7.6e – South Versailles Sanitary Sewer Repair (REBID)</w:t>
                  </w:r>
                  <w:r w:rsidRPr="00602C4C">
                    <w:t>: Consists of sanitary sewer repairs including installation of 4 lateral connection CIPP liners, raise to grade 4 manholes, chemical grouting of 4 manholes and all necessary appurtenances and restoration for said construction.</w:t>
                  </w:r>
                  <w:r w:rsidRPr="00602C4C">
                    <w:br/>
                  </w:r>
                  <w:r w:rsidRPr="00602C4C">
                    <w:br/>
                    <w:t xml:space="preserve">Compliance is required with the Davis-Bacon Act and other Federal Labor Standard Provisions; Title VI and other applicable provisions of the Civil Rights Act of 1964; the Department of Labor Equal Opportunity Clause (41 CFR 60 – 1.4); Section 109 of the Housing and Community Development Act of 1974; Executive Order 11625 (Utilization of Minority Business Enterprise); Executive Order 12138 (Utilization of Female Business Enterprise); in compliance with Section 504 of the Rehabilitation Act of 1973 and the Americans with Disabilities Act of 1990; the Allegheny County MBE/WBE Program enacted July, 1981, which sets forth goals of 13 percent Minority and 2 percent Female Business Enterprise; and the Allegheny County Ordinance #6867-12, setting forth goals of 5 percent Veteran-Owned Small Businesses. Further, notice is hereby given that this is a Section 3 Project under the Housing and Urban Development Act of 1968, (as amended) and </w:t>
                  </w:r>
                  <w:proofErr w:type="gramStart"/>
                  <w:r w:rsidRPr="00602C4C">
                    <w:t>must to</w:t>
                  </w:r>
                  <w:proofErr w:type="gramEnd"/>
                  <w:r w:rsidRPr="00602C4C">
                    <w:t xml:space="preserve"> the greatest extent feasible, utilize lower income residents for employment and training opportunities and Section 3 Business concerns and all contracts and subcontracts for this project shall contain the “Section 3 Clause” as set forth in 24 CFR, Part 135.38. Moreover, compliance is required by the prime contractor and all subcontractors with the Federal General Conditions included in the contract documents between the County of Allegheny through its Department of Economic Development and the operating agency. These Federal General Conditions are to be incorporated by reference into all construction contracts between operating agency and </w:t>
                  </w:r>
                  <w:r w:rsidRPr="00602C4C">
                    <w:lastRenderedPageBreak/>
                    <w:t>contractor, contractor and subcontractor(s), and subcontractor(s) and lower tiered subcontractor(s).</w:t>
                  </w:r>
                  <w:r w:rsidRPr="00602C4C">
                    <w:br/>
                  </w:r>
                  <w:r w:rsidRPr="00602C4C">
                    <w:br/>
                  </w:r>
                  <w:r w:rsidRPr="00602C4C">
                    <w:rPr>
                      <w:b/>
                      <w:bCs/>
                    </w:rPr>
                    <w:t>Separate copies of Bid Specifications, Instructions to Bidders, and Proposal Forms</w:t>
                  </w:r>
                  <w:r w:rsidRPr="00602C4C">
                    <w:t xml:space="preserve"> can be obtained at the SRCOG office upon payment of a non-refundable fee of Sixty Dollars ($60) for each project, payable by cash or check. Documents can be mailed to bidders upon receipt of and additional non-refundable postage fee of Ten Dollars ($10) per project. Each project proposal shall be delivered to SRCOG’s office in a separate sealed envelope bearing the name and address of the bidder on the outside, addressed to Steel Rivers COG and marked with the Project Name. Proposals to receive consideration must be accompanied by a Certified Check or Bidder’s Bond from a Surety Company authorized to do business in Pennsylvania, made to the order of The Steel Rivers Council of Governments and in an amount equal to ten percent (10%) of the Proposal as a guarantee that, if the Proposal is accepted, the successful Bidder will immediately enter into Agreement after the Notice of Award of the Contract and commence start of contracted work immediately thereafter.</w:t>
                  </w:r>
                  <w:r w:rsidRPr="00602C4C">
                    <w:br/>
                  </w:r>
                  <w:r w:rsidRPr="00602C4C">
                    <w:br/>
                  </w:r>
                  <w:r w:rsidRPr="00602C4C">
                    <w:rPr>
                      <w:b/>
                      <w:bCs/>
                    </w:rPr>
                    <w:t>The SRCOG reserves the right to waive any informalities or to reject any or all proposals</w:t>
                  </w:r>
                  <w:r w:rsidRPr="00602C4C">
                    <w:t>, or any part thereof. No Bidder may reject their bid for the period as specified in the Project Bid documents after the scheduled closing time for Receipt of Bids.</w:t>
                  </w:r>
                  <w:r w:rsidRPr="00602C4C">
                    <w:br/>
                  </w:r>
                  <w:proofErr w:type="gramStart"/>
                  <w:r w:rsidRPr="00602C4C">
                    <w:t>An</w:t>
                  </w:r>
                  <w:proofErr w:type="gramEnd"/>
                  <w:r w:rsidRPr="00602C4C">
                    <w:t xml:space="preserve"> Lewis, Executive Director. SRCOG </w:t>
                  </w:r>
                </w:p>
              </w:tc>
            </w:tr>
          </w:tbl>
          <w:p w14:paraId="6367BE94" w14:textId="77777777" w:rsidR="00602C4C" w:rsidRPr="00602C4C" w:rsidRDefault="00602C4C" w:rsidP="00602C4C"/>
        </w:tc>
      </w:tr>
    </w:tbl>
    <w:p w14:paraId="2A27852A"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4C"/>
    <w:rsid w:val="00216366"/>
    <w:rsid w:val="00602C4C"/>
    <w:rsid w:val="0066452E"/>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C98D"/>
  <w15:chartTrackingRefBased/>
  <w15:docId w15:val="{04A14510-4122-47B7-A534-4CD0A7B6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C4C"/>
    <w:rPr>
      <w:rFonts w:eastAsiaTheme="majorEastAsia" w:cstheme="majorBidi"/>
      <w:color w:val="272727" w:themeColor="text1" w:themeTint="D8"/>
    </w:rPr>
  </w:style>
  <w:style w:type="paragraph" w:styleId="Title">
    <w:name w:val="Title"/>
    <w:basedOn w:val="Normal"/>
    <w:next w:val="Normal"/>
    <w:link w:val="TitleChar"/>
    <w:uiPriority w:val="10"/>
    <w:qFormat/>
    <w:rsid w:val="00602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C4C"/>
    <w:pPr>
      <w:spacing w:before="160"/>
      <w:jc w:val="center"/>
    </w:pPr>
    <w:rPr>
      <w:i/>
      <w:iCs/>
      <w:color w:val="404040" w:themeColor="text1" w:themeTint="BF"/>
    </w:rPr>
  </w:style>
  <w:style w:type="character" w:customStyle="1" w:styleId="QuoteChar">
    <w:name w:val="Quote Char"/>
    <w:basedOn w:val="DefaultParagraphFont"/>
    <w:link w:val="Quote"/>
    <w:uiPriority w:val="29"/>
    <w:rsid w:val="00602C4C"/>
    <w:rPr>
      <w:i/>
      <w:iCs/>
      <w:color w:val="404040" w:themeColor="text1" w:themeTint="BF"/>
    </w:rPr>
  </w:style>
  <w:style w:type="paragraph" w:styleId="ListParagraph">
    <w:name w:val="List Paragraph"/>
    <w:basedOn w:val="Normal"/>
    <w:uiPriority w:val="34"/>
    <w:qFormat/>
    <w:rsid w:val="00602C4C"/>
    <w:pPr>
      <w:ind w:left="720"/>
      <w:contextualSpacing/>
    </w:pPr>
  </w:style>
  <w:style w:type="character" w:styleId="IntenseEmphasis">
    <w:name w:val="Intense Emphasis"/>
    <w:basedOn w:val="DefaultParagraphFont"/>
    <w:uiPriority w:val="21"/>
    <w:qFormat/>
    <w:rsid w:val="00602C4C"/>
    <w:rPr>
      <w:i/>
      <w:iCs/>
      <w:color w:val="0F4761" w:themeColor="accent1" w:themeShade="BF"/>
    </w:rPr>
  </w:style>
  <w:style w:type="paragraph" w:styleId="IntenseQuote">
    <w:name w:val="Intense Quote"/>
    <w:basedOn w:val="Normal"/>
    <w:next w:val="Normal"/>
    <w:link w:val="IntenseQuoteChar"/>
    <w:uiPriority w:val="30"/>
    <w:qFormat/>
    <w:rsid w:val="0060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C4C"/>
    <w:rPr>
      <w:i/>
      <w:iCs/>
      <w:color w:val="0F4761" w:themeColor="accent1" w:themeShade="BF"/>
    </w:rPr>
  </w:style>
  <w:style w:type="character" w:styleId="IntenseReference">
    <w:name w:val="Intense Reference"/>
    <w:basedOn w:val="DefaultParagraphFont"/>
    <w:uiPriority w:val="32"/>
    <w:qFormat/>
    <w:rsid w:val="00602C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81402">
      <w:bodyDiv w:val="1"/>
      <w:marLeft w:val="0"/>
      <w:marRight w:val="0"/>
      <w:marTop w:val="0"/>
      <w:marBottom w:val="0"/>
      <w:divBdr>
        <w:top w:val="none" w:sz="0" w:space="0" w:color="auto"/>
        <w:left w:val="none" w:sz="0" w:space="0" w:color="auto"/>
        <w:bottom w:val="none" w:sz="0" w:space="0" w:color="auto"/>
        <w:right w:val="none" w:sz="0" w:space="0" w:color="auto"/>
      </w:divBdr>
    </w:div>
    <w:div w:id="12635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Company>California University of Pennsylvania</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2024-12-19T16:11:00Z</dcterms:created>
  <dcterms:modified xsi:type="dcterms:W3CDTF">2024-12-19T16:11:00Z</dcterms:modified>
</cp:coreProperties>
</file>